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018" w:rsidRDefault="006D1018" w:rsidP="006D1018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T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able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5 </w:t>
      </w:r>
      <w:r>
        <w:rPr>
          <w:rFonts w:ascii="Times New Roman" w:hAnsi="Times New Roman"/>
          <w:color w:val="000000" w:themeColor="text1"/>
          <w:sz w:val="24"/>
          <w:szCs w:val="24"/>
        </w:rPr>
        <w:t>Previous studies and indicators that may change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858"/>
        <w:gridCol w:w="3103"/>
      </w:tblGrid>
      <w:tr w:rsidR="006D1018" w:rsidTr="00B84593">
        <w:trPr>
          <w:jc w:val="center"/>
        </w:trPr>
        <w:tc>
          <w:tcPr>
            <w:tcW w:w="2410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uthor</w:t>
            </w:r>
          </w:p>
        </w:tc>
        <w:tc>
          <w:tcPr>
            <w:tcW w:w="1858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index</w:t>
            </w:r>
          </w:p>
        </w:tc>
        <w:tc>
          <w:tcPr>
            <w:tcW w:w="3103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Variety</w:t>
            </w:r>
          </w:p>
        </w:tc>
      </w:tr>
      <w:tr w:rsidR="006D1018" w:rsidTr="00B84593">
        <w:trPr>
          <w:jc w:val="center"/>
        </w:trPr>
        <w:tc>
          <w:tcPr>
            <w:tcW w:w="2410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Chao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l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Huang et al</w:t>
            </w:r>
            <w:r w:rsidR="00B9286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B92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(Huang et al., 2020)</w:t>
            </w:r>
          </w:p>
        </w:tc>
        <w:tc>
          <w:tcPr>
            <w:tcW w:w="1858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White blood cell count,</w:t>
            </w:r>
            <w: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Lymphocyte count</w:t>
            </w:r>
          </w:p>
        </w:tc>
        <w:tc>
          <w:tcPr>
            <w:tcW w:w="3103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amount reduced</w:t>
            </w:r>
          </w:p>
        </w:tc>
      </w:tr>
      <w:tr w:rsidR="006D1018" w:rsidTr="00B84593">
        <w:trPr>
          <w:jc w:val="center"/>
        </w:trPr>
        <w:tc>
          <w:tcPr>
            <w:tcW w:w="2410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Na Zhu, et al</w:t>
            </w:r>
            <w:r w:rsidR="00B9286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="00B92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(Zhu et al., 2020)</w:t>
            </w:r>
          </w:p>
        </w:tc>
        <w:tc>
          <w:tcPr>
            <w:tcW w:w="1858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Chest Radiographs.</w:t>
            </w:r>
          </w:p>
        </w:tc>
        <w:tc>
          <w:tcPr>
            <w:tcW w:w="3103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increased in density, profusion, and confluence in the </w:t>
            </w:r>
          </w:p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second image;</w:t>
            </w:r>
          </w:p>
        </w:tc>
      </w:tr>
      <w:tr w:rsidR="006D1018" w:rsidTr="00B84593">
        <w:trPr>
          <w:jc w:val="center"/>
        </w:trPr>
        <w:tc>
          <w:tcPr>
            <w:tcW w:w="2410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Wang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et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al.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B9286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="00B92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Wang et al., 2019)</w:t>
            </w:r>
          </w:p>
        </w:tc>
        <w:tc>
          <w:tcPr>
            <w:tcW w:w="1858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Lymphocyte count</w:t>
            </w:r>
          </w:p>
        </w:tc>
        <w:tc>
          <w:tcPr>
            <w:tcW w:w="3103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amount reduced</w:t>
            </w:r>
          </w:p>
        </w:tc>
      </w:tr>
      <w:tr w:rsidR="006D1018" w:rsidTr="00B84593">
        <w:trPr>
          <w:jc w:val="center"/>
        </w:trPr>
        <w:tc>
          <w:tcPr>
            <w:tcW w:w="2410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et al</w:t>
            </w:r>
            <w:r w:rsidR="00B92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B9286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="00B92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Ji et al., 2020)</w:t>
            </w:r>
          </w:p>
        </w:tc>
        <w:tc>
          <w:tcPr>
            <w:tcW w:w="1858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viral spike glycoprotein</w:t>
            </w:r>
          </w:p>
        </w:tc>
        <w:tc>
          <w:tcPr>
            <w:tcW w:w="3103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recombination</w:t>
            </w:r>
          </w:p>
        </w:tc>
      </w:tr>
      <w:tr w:rsidR="006D1018" w:rsidTr="00B84593">
        <w:trPr>
          <w:jc w:val="center"/>
        </w:trPr>
        <w:tc>
          <w:tcPr>
            <w:tcW w:w="2410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Tongji Medical College of HUST</w:t>
            </w:r>
            <w:r w:rsidR="00B92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B92869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(</w:t>
            </w:r>
            <w:r w:rsidR="00B92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Quick </w:t>
            </w:r>
            <w:r w:rsidR="003501C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</w:t>
            </w:r>
            <w:r w:rsidR="00B92869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uide, 2020)</w:t>
            </w:r>
          </w:p>
        </w:tc>
        <w:tc>
          <w:tcPr>
            <w:tcW w:w="1858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Cytokines (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eg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: IL-2, IL-6, TNF-α, IFN-γ)</w:t>
            </w:r>
          </w:p>
        </w:tc>
        <w:tc>
          <w:tcPr>
            <w:tcW w:w="3103" w:type="dxa"/>
            <w:vAlign w:val="center"/>
          </w:tcPr>
          <w:p w:rsidR="006D1018" w:rsidRDefault="006D1018" w:rsidP="00B84593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Abnormal elevation</w:t>
            </w:r>
          </w:p>
        </w:tc>
      </w:tr>
    </w:tbl>
    <w:p w:rsidR="006D1018" w:rsidRDefault="006D1018" w:rsidP="006D1018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135A30" w:rsidRPr="006D1018" w:rsidRDefault="00135A30" w:rsidP="006D1018"/>
    <w:sectPr w:rsidR="00135A30" w:rsidRPr="006D10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DE9" w:rsidRDefault="00F44DE9" w:rsidP="00B92869">
      <w:r>
        <w:separator/>
      </w:r>
    </w:p>
  </w:endnote>
  <w:endnote w:type="continuationSeparator" w:id="0">
    <w:p w:rsidR="00F44DE9" w:rsidRDefault="00F44DE9" w:rsidP="00B92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DE9" w:rsidRDefault="00F44DE9" w:rsidP="00B92869">
      <w:r>
        <w:separator/>
      </w:r>
    </w:p>
  </w:footnote>
  <w:footnote w:type="continuationSeparator" w:id="0">
    <w:p w:rsidR="00F44DE9" w:rsidRDefault="00F44DE9" w:rsidP="00B928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0AC"/>
    <w:rsid w:val="00021A38"/>
    <w:rsid w:val="00135A30"/>
    <w:rsid w:val="003501CF"/>
    <w:rsid w:val="005C7C08"/>
    <w:rsid w:val="006D1018"/>
    <w:rsid w:val="009720AC"/>
    <w:rsid w:val="00A767A7"/>
    <w:rsid w:val="00B92869"/>
    <w:rsid w:val="00BA5C93"/>
    <w:rsid w:val="00C23E38"/>
    <w:rsid w:val="00F4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9CA5F"/>
  <w15:chartTrackingRefBased/>
  <w15:docId w15:val="{0B53344A-C87E-443E-9A06-38D7F3044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10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rsid w:val="00BA5C93"/>
    <w:pPr>
      <w:tabs>
        <w:tab w:val="right" w:leader="dot" w:pos="8303"/>
      </w:tabs>
      <w:spacing w:before="120"/>
      <w:jc w:val="center"/>
    </w:pPr>
    <w:rPr>
      <w:rFonts w:ascii="黑体" w:eastAsia="黑体" w:hAnsi="Times New Roman" w:cs="Times New Roman"/>
      <w:b/>
      <w:bCs/>
      <w:noProof/>
      <w:sz w:val="28"/>
      <w:szCs w:val="28"/>
    </w:rPr>
  </w:style>
  <w:style w:type="paragraph" w:styleId="TOC2">
    <w:name w:val="toc 2"/>
    <w:basedOn w:val="a"/>
    <w:next w:val="a"/>
    <w:autoRedefine/>
    <w:uiPriority w:val="39"/>
    <w:rsid w:val="00BA5C93"/>
    <w:pPr>
      <w:tabs>
        <w:tab w:val="left" w:pos="1470"/>
        <w:tab w:val="right" w:leader="dot" w:pos="8303"/>
      </w:tabs>
      <w:spacing w:before="120"/>
      <w:ind w:leftChars="100" w:left="210"/>
    </w:pPr>
    <w:rPr>
      <w:rFonts w:ascii="黑体" w:eastAsia="黑体" w:hAnsi="宋体" w:cs="黑体"/>
      <w:b/>
      <w:noProof/>
      <w:sz w:val="24"/>
      <w:szCs w:val="24"/>
      <w:lang w:val="zh-CN"/>
    </w:rPr>
  </w:style>
  <w:style w:type="paragraph" w:styleId="TOC3">
    <w:name w:val="toc 3"/>
    <w:basedOn w:val="a"/>
    <w:next w:val="a"/>
    <w:autoRedefine/>
    <w:uiPriority w:val="39"/>
    <w:rsid w:val="00BA5C93"/>
    <w:pPr>
      <w:ind w:leftChars="400" w:left="840"/>
    </w:pPr>
    <w:rPr>
      <w:rFonts w:ascii="Times New Roman" w:eastAsia="宋体" w:hAnsi="Times New Roman" w:cs="Times New Roman"/>
      <w:szCs w:val="24"/>
    </w:rPr>
  </w:style>
  <w:style w:type="table" w:styleId="a3">
    <w:name w:val="Table Grid"/>
    <w:basedOn w:val="a1"/>
    <w:uiPriority w:val="39"/>
    <w:qFormat/>
    <w:rsid w:val="009720A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92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9286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92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928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Qichen Yang</dc:creator>
  <cp:keywords/>
  <dc:description/>
  <cp:lastModifiedBy>Qichen Yang</cp:lastModifiedBy>
  <cp:revision>4</cp:revision>
  <dcterms:created xsi:type="dcterms:W3CDTF">2020-02-18T08:54:00Z</dcterms:created>
  <dcterms:modified xsi:type="dcterms:W3CDTF">2020-02-27T07:14:00Z</dcterms:modified>
</cp:coreProperties>
</file>